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B89F5" w14:textId="326EEC67" w:rsidR="001C2330" w:rsidRDefault="001C2330" w:rsidP="001C2330">
      <w:pPr>
        <w:jc w:val="center"/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321FBE87" wp14:editId="6C3546D1">
            <wp:extent cx="3051738" cy="588509"/>
            <wp:effectExtent l="0" t="0" r="0" b="0"/>
            <wp:docPr id="126876094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201" cy="603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402BC" w14:textId="77777777" w:rsidR="001C2330" w:rsidRDefault="001C2330" w:rsidP="001C2330">
      <w:pPr>
        <w:rPr>
          <w:lang w:val="it-IT"/>
        </w:rPr>
      </w:pPr>
    </w:p>
    <w:p w14:paraId="56BB74DB" w14:textId="77777777" w:rsidR="0029227F" w:rsidRPr="0029227F" w:rsidRDefault="0029227F" w:rsidP="0029227F">
      <w:pPr>
        <w:jc w:val="center"/>
        <w:rPr>
          <w:lang w:val="it-IT"/>
        </w:rPr>
      </w:pPr>
      <w:r w:rsidRPr="0029227F">
        <w:rPr>
          <w:b/>
          <w:bCs/>
          <w:lang w:val="it-IT"/>
        </w:rPr>
        <w:t>SUPREME EYE ELIXIR</w:t>
      </w:r>
    </w:p>
    <w:p w14:paraId="707ECDE5" w14:textId="77777777" w:rsidR="0029227F" w:rsidRPr="0029227F" w:rsidRDefault="0029227F" w:rsidP="0029227F">
      <w:pPr>
        <w:rPr>
          <w:lang w:val="it-IT"/>
        </w:rPr>
      </w:pPr>
      <w:proofErr w:type="spellStart"/>
      <w:r w:rsidRPr="0029227F">
        <w:rPr>
          <w:b/>
          <w:bCs/>
          <w:lang w:val="it-IT"/>
        </w:rPr>
        <w:t>Hepyc</w:t>
      </w:r>
      <w:proofErr w:type="spellEnd"/>
      <w:r w:rsidRPr="0029227F">
        <w:rPr>
          <w:b/>
          <w:bCs/>
          <w:lang w:val="it-IT"/>
        </w:rPr>
        <w:t xml:space="preserve"> Supreme Eye Elixir</w:t>
      </w:r>
      <w:r w:rsidRPr="0029227F">
        <w:rPr>
          <w:lang w:val="it-IT"/>
        </w:rPr>
        <w:t> è un trattamento per il contorno occhi anti-age formulato per intervenire in modo mirato sui principali segni di affaticamento dell’area perioculare — borse, occhiaie, piccoli edemi. Al centro della formula c’è l’</w:t>
      </w:r>
      <w:r w:rsidRPr="0029227F">
        <w:rPr>
          <w:b/>
          <w:bCs/>
          <w:lang w:val="it-IT"/>
        </w:rPr>
        <w:t>eparina,</w:t>
      </w:r>
      <w:r w:rsidRPr="0029227F">
        <w:rPr>
          <w:lang w:val="it-IT"/>
        </w:rPr>
        <w:t> ingrediente particolarmente efficace per un trattamento del contorno occhi grazie alla sua capacità di favorire il drenaggio cutaneo e il riequilibrio della microcircolazione locale.</w:t>
      </w:r>
    </w:p>
    <w:p w14:paraId="4BADD050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Accanto all’eparina la formula integra:</w:t>
      </w:r>
    </w:p>
    <w:p w14:paraId="661D6C4B" w14:textId="77777777" w:rsidR="0029227F" w:rsidRPr="0029227F" w:rsidRDefault="0029227F" w:rsidP="0029227F">
      <w:pPr>
        <w:numPr>
          <w:ilvl w:val="0"/>
          <w:numId w:val="5"/>
        </w:numPr>
        <w:rPr>
          <w:lang w:val="it-IT"/>
        </w:rPr>
      </w:pPr>
      <w:r w:rsidRPr="0029227F">
        <w:rPr>
          <w:lang w:val="it-IT"/>
        </w:rPr>
        <w:t> </w:t>
      </w:r>
      <w:proofErr w:type="spellStart"/>
      <w:r w:rsidRPr="0029227F">
        <w:rPr>
          <w:b/>
          <w:bCs/>
          <w:lang w:val="it-IT"/>
        </w:rPr>
        <w:t>EyeGlorious</w:t>
      </w:r>
      <w:proofErr w:type="spellEnd"/>
      <w:r w:rsidRPr="0029227F">
        <w:rPr>
          <w:b/>
          <w:bCs/>
          <w:lang w:val="it-IT"/>
        </w:rPr>
        <w:t>™</w:t>
      </w:r>
      <w:r w:rsidRPr="0029227F">
        <w:rPr>
          <w:lang w:val="it-IT"/>
        </w:rPr>
        <w:t>, complesso che agisce sull’eccessiva permeabilità vascolare indotta dall’infiammazione, rafforzando l’azione drenante e decongestionante e favorendo la riduzione di borse e occhiaie;</w:t>
      </w:r>
    </w:p>
    <w:p w14:paraId="11D07448" w14:textId="77777777" w:rsidR="0029227F" w:rsidRPr="0029227F" w:rsidRDefault="0029227F" w:rsidP="0029227F">
      <w:pPr>
        <w:numPr>
          <w:ilvl w:val="0"/>
          <w:numId w:val="5"/>
        </w:numPr>
        <w:rPr>
          <w:lang w:val="it-IT"/>
        </w:rPr>
      </w:pPr>
      <w:r w:rsidRPr="0029227F">
        <w:rPr>
          <w:b/>
          <w:bCs/>
          <w:lang w:val="it-IT"/>
        </w:rPr>
        <w:t>acido ialuronico</w:t>
      </w:r>
      <w:r w:rsidRPr="0029227F">
        <w:rPr>
          <w:lang w:val="it-IT"/>
        </w:rPr>
        <w:t> e </w:t>
      </w:r>
      <w:r w:rsidRPr="0029227F">
        <w:rPr>
          <w:b/>
          <w:bCs/>
          <w:lang w:val="it-IT"/>
        </w:rPr>
        <w:t>glicosaminoglicani</w:t>
      </w:r>
      <w:r w:rsidRPr="0029227F">
        <w:rPr>
          <w:lang w:val="it-IT"/>
        </w:rPr>
        <w:t> sostengono l’idratazione e l’architettura cutanea, migliorano l’elasticità, la compattezza e la qualità dei tessuti perioculari;</w:t>
      </w:r>
    </w:p>
    <w:p w14:paraId="0509AB60" w14:textId="77777777" w:rsidR="0029227F" w:rsidRPr="0029227F" w:rsidRDefault="0029227F" w:rsidP="0029227F">
      <w:pPr>
        <w:numPr>
          <w:ilvl w:val="0"/>
          <w:numId w:val="5"/>
        </w:numPr>
        <w:rPr>
          <w:lang w:val="it-IT"/>
        </w:rPr>
      </w:pPr>
      <w:proofErr w:type="spellStart"/>
      <w:r w:rsidRPr="0029227F">
        <w:rPr>
          <w:b/>
          <w:bCs/>
          <w:lang w:val="it-IT"/>
        </w:rPr>
        <w:t>Emulium</w:t>
      </w:r>
      <w:proofErr w:type="spellEnd"/>
      <w:r w:rsidRPr="0029227F">
        <w:rPr>
          <w:b/>
          <w:bCs/>
          <w:lang w:val="it-IT"/>
        </w:rPr>
        <w:t xml:space="preserve"> </w:t>
      </w:r>
      <w:proofErr w:type="spellStart"/>
      <w:r w:rsidRPr="0029227F">
        <w:rPr>
          <w:b/>
          <w:bCs/>
          <w:lang w:val="it-IT"/>
        </w:rPr>
        <w:t>Dermolea</w:t>
      </w:r>
      <w:proofErr w:type="spellEnd"/>
      <w:r w:rsidRPr="0029227F">
        <w:rPr>
          <w:b/>
          <w:bCs/>
          <w:lang w:val="it-IT"/>
        </w:rPr>
        <w:t xml:space="preserve"> MB®</w:t>
      </w:r>
      <w:r w:rsidRPr="0029227F">
        <w:rPr>
          <w:lang w:val="it-IT"/>
        </w:rPr>
        <w:t>, complesso brevettato, che rafforza la barriera cutanea e protegge dallo stress infiammatorio indotto dall’inquinamento. </w:t>
      </w:r>
    </w:p>
    <w:p w14:paraId="5F0044B6" w14:textId="77777777" w:rsidR="0029227F" w:rsidRPr="0029227F" w:rsidRDefault="0029227F" w:rsidP="0029227F">
      <w:pPr>
        <w:rPr>
          <w:lang w:val="it-IT"/>
        </w:rPr>
      </w:pPr>
    </w:p>
    <w:p w14:paraId="2858D4DB" w14:textId="77777777" w:rsidR="0029227F" w:rsidRPr="0029227F" w:rsidRDefault="0029227F" w:rsidP="0029227F">
      <w:pPr>
        <w:rPr>
          <w:lang w:val="it-IT"/>
        </w:rPr>
      </w:pPr>
      <w:r w:rsidRPr="0029227F">
        <w:rPr>
          <w:b/>
          <w:bCs/>
          <w:lang w:val="it-IT"/>
        </w:rPr>
        <w:t>AZIONI MIRATE CONTRO GONFIORI E SEGNI DI STANCHEZZA</w:t>
      </w:r>
    </w:p>
    <w:p w14:paraId="72EAAE1F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L’azione di </w:t>
      </w:r>
      <w:r w:rsidRPr="0029227F">
        <w:rPr>
          <w:b/>
          <w:bCs/>
          <w:lang w:val="it-IT"/>
        </w:rPr>
        <w:t>Supreme Eye Elixir</w:t>
      </w:r>
      <w:r w:rsidRPr="0029227F">
        <w:rPr>
          <w:lang w:val="it-IT"/>
        </w:rPr>
        <w:t> è pensata per accompagnare e sostenere i naturali processi cutanei dell’area perioculare e, proprio grazie al ruolo dell’eparina, il trattamento favorisce il drenaggio dei liquidi responsabili di gonfiori e borse, per ridurre la visibilità dei piccoli edemi perioculari. </w:t>
      </w:r>
    </w:p>
    <w:p w14:paraId="3026CFED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Con l’utilizzo costante, </w:t>
      </w:r>
      <w:r w:rsidRPr="0029227F">
        <w:rPr>
          <w:b/>
          <w:bCs/>
          <w:lang w:val="it-IT"/>
        </w:rPr>
        <w:t xml:space="preserve">Supreme Eye </w:t>
      </w:r>
      <w:proofErr w:type="spellStart"/>
      <w:r w:rsidRPr="0029227F">
        <w:rPr>
          <w:b/>
          <w:bCs/>
          <w:lang w:val="it-IT"/>
        </w:rPr>
        <w:t>Elixir</w:t>
      </w:r>
      <w:proofErr w:type="spellEnd"/>
      <w:r w:rsidRPr="0029227F">
        <w:rPr>
          <w:lang w:val="it-IT"/>
        </w:rPr>
        <w:t>:</w:t>
      </w:r>
    </w:p>
    <w:p w14:paraId="5C0389E4" w14:textId="77777777" w:rsidR="0029227F" w:rsidRPr="0029227F" w:rsidRDefault="0029227F" w:rsidP="0029227F">
      <w:pPr>
        <w:numPr>
          <w:ilvl w:val="0"/>
          <w:numId w:val="6"/>
        </w:numPr>
        <w:rPr>
          <w:lang w:val="it-IT"/>
        </w:rPr>
      </w:pPr>
      <w:r w:rsidRPr="0029227F">
        <w:rPr>
          <w:lang w:val="it-IT"/>
        </w:rPr>
        <w:t>contribuisce a una riduzione del volume delle borse;</w:t>
      </w:r>
    </w:p>
    <w:p w14:paraId="0ECDE505" w14:textId="77777777" w:rsidR="0029227F" w:rsidRPr="0029227F" w:rsidRDefault="0029227F" w:rsidP="0029227F">
      <w:pPr>
        <w:numPr>
          <w:ilvl w:val="0"/>
          <w:numId w:val="6"/>
        </w:numPr>
        <w:rPr>
          <w:lang w:val="it-IT"/>
        </w:rPr>
      </w:pPr>
      <w:r w:rsidRPr="0029227F">
        <w:rPr>
          <w:lang w:val="it-IT"/>
        </w:rPr>
        <w:t>favorisce una diminuzione progressiva della profondità delle rughe perioculari;</w:t>
      </w:r>
    </w:p>
    <w:p w14:paraId="0BD7A798" w14:textId="77777777" w:rsidR="0029227F" w:rsidRPr="0029227F" w:rsidRDefault="0029227F" w:rsidP="0029227F">
      <w:pPr>
        <w:numPr>
          <w:ilvl w:val="0"/>
          <w:numId w:val="6"/>
        </w:numPr>
        <w:rPr>
          <w:lang w:val="it-IT"/>
        </w:rPr>
      </w:pPr>
      <w:r w:rsidRPr="0029227F">
        <w:rPr>
          <w:lang w:val="it-IT"/>
        </w:rPr>
        <w:t>migliora l’uniformità e la luminosità del contorno occhi;</w:t>
      </w:r>
    </w:p>
    <w:p w14:paraId="6B451D3A" w14:textId="77777777" w:rsidR="0029227F" w:rsidRPr="0029227F" w:rsidRDefault="0029227F" w:rsidP="0029227F">
      <w:pPr>
        <w:numPr>
          <w:ilvl w:val="0"/>
          <w:numId w:val="6"/>
        </w:numPr>
        <w:rPr>
          <w:lang w:val="it-IT"/>
        </w:rPr>
      </w:pPr>
      <w:r w:rsidRPr="0029227F">
        <w:rPr>
          <w:lang w:val="it-IT"/>
        </w:rPr>
        <w:t>aumenta l’idratazione e il comfort cutaneo, rendendo la zona morbida e la pelle elastica.</w:t>
      </w:r>
    </w:p>
    <w:p w14:paraId="557F1DF3" w14:textId="77777777" w:rsidR="0029227F" w:rsidRPr="0029227F" w:rsidRDefault="0029227F" w:rsidP="0029227F">
      <w:pPr>
        <w:rPr>
          <w:lang w:val="it-IT"/>
        </w:rPr>
      </w:pPr>
    </w:p>
    <w:p w14:paraId="08ACD211" w14:textId="77777777" w:rsidR="0029227F" w:rsidRPr="0029227F" w:rsidRDefault="0029227F" w:rsidP="0029227F">
      <w:pPr>
        <w:rPr>
          <w:lang w:val="it-IT"/>
        </w:rPr>
      </w:pPr>
      <w:r w:rsidRPr="0029227F">
        <w:rPr>
          <w:b/>
          <w:bCs/>
          <w:lang w:val="it-IT"/>
        </w:rPr>
        <w:t>EFFICACIA DIMOSTRATA</w:t>
      </w:r>
    </w:p>
    <w:p w14:paraId="69038108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L’efficacia di </w:t>
      </w:r>
      <w:r w:rsidRPr="0029227F">
        <w:rPr>
          <w:b/>
          <w:bCs/>
          <w:lang w:val="it-IT"/>
        </w:rPr>
        <w:t>Supreme Eye Elixir</w:t>
      </w:r>
      <w:r w:rsidRPr="0029227F">
        <w:rPr>
          <w:lang w:val="it-IT"/>
        </w:rPr>
        <w:t xml:space="preserve"> è stata valutata attraverso un test clinico strumentale condotto su 20 soggetti adulti, sotto controllo dermatologico, mediante strumentazione </w:t>
      </w:r>
      <w:proofErr w:type="spellStart"/>
      <w:r w:rsidRPr="0029227F">
        <w:rPr>
          <w:lang w:val="it-IT"/>
        </w:rPr>
        <w:t>bioingegneristica</w:t>
      </w:r>
      <w:proofErr w:type="spellEnd"/>
      <w:r w:rsidRPr="0029227F">
        <w:rPr>
          <w:lang w:val="it-IT"/>
        </w:rPr>
        <w:t xml:space="preserve"> non invasiva, con applicazione costante del prodotto per 8 settimane.</w:t>
      </w:r>
    </w:p>
    <w:p w14:paraId="467A0C36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I risultati mostrano un miglioramento significativo dei principali parametri legati alla qualità cutanea del contorno occhi, confermando l’azione drenante, decongestionante e rigenerativa della formula.</w:t>
      </w:r>
    </w:p>
    <w:p w14:paraId="53335A91" w14:textId="77777777" w:rsidR="0029227F" w:rsidRPr="0029227F" w:rsidRDefault="0029227F" w:rsidP="0029227F">
      <w:pPr>
        <w:rPr>
          <w:lang w:val="it-IT"/>
        </w:rPr>
      </w:pPr>
      <w:r w:rsidRPr="0029227F">
        <w:rPr>
          <w:b/>
          <w:bCs/>
          <w:lang w:val="it-IT"/>
        </w:rPr>
        <w:t>Risultati principali</w:t>
      </w:r>
    </w:p>
    <w:p w14:paraId="74265C8A" w14:textId="77777777" w:rsidR="0029227F" w:rsidRPr="0029227F" w:rsidRDefault="0029227F" w:rsidP="0029227F">
      <w:pPr>
        <w:numPr>
          <w:ilvl w:val="0"/>
          <w:numId w:val="7"/>
        </w:numPr>
        <w:rPr>
          <w:lang w:val="it-IT"/>
        </w:rPr>
      </w:pPr>
      <w:r w:rsidRPr="0029227F">
        <w:rPr>
          <w:b/>
          <w:bCs/>
          <w:lang w:val="it-IT"/>
        </w:rPr>
        <w:lastRenderedPageBreak/>
        <w:t>Riduzione del volume delle borse</w:t>
      </w:r>
      <w:r w:rsidRPr="0029227F">
        <w:rPr>
          <w:lang w:val="it-IT"/>
        </w:rPr>
        <w:br/>
        <w:t>−39%*</w:t>
      </w:r>
      <w:r w:rsidRPr="0029227F">
        <w:rPr>
          <w:lang w:val="it-IT"/>
        </w:rPr>
        <w:br/>
        <w:t>95% dei soggetti migliorati</w:t>
      </w:r>
    </w:p>
    <w:p w14:paraId="7EB9219A" w14:textId="77777777" w:rsidR="0029227F" w:rsidRPr="0029227F" w:rsidRDefault="0029227F" w:rsidP="0029227F">
      <w:pPr>
        <w:numPr>
          <w:ilvl w:val="0"/>
          <w:numId w:val="7"/>
        </w:numPr>
        <w:rPr>
          <w:lang w:val="it-IT"/>
        </w:rPr>
      </w:pPr>
      <w:r w:rsidRPr="0029227F">
        <w:rPr>
          <w:b/>
          <w:bCs/>
          <w:lang w:val="it-IT"/>
        </w:rPr>
        <w:t>Riduzione della profondità delle rughe perioculari</w:t>
      </w:r>
      <w:r w:rsidRPr="0029227F">
        <w:rPr>
          <w:lang w:val="it-IT"/>
        </w:rPr>
        <w:br/>
        <w:t>−38%*</w:t>
      </w:r>
      <w:r w:rsidRPr="0029227F">
        <w:rPr>
          <w:lang w:val="it-IT"/>
        </w:rPr>
        <w:br/>
        <w:t>85% dei soggetti migliorati</w:t>
      </w:r>
    </w:p>
    <w:p w14:paraId="1F4AFA5F" w14:textId="77777777" w:rsidR="0029227F" w:rsidRPr="0029227F" w:rsidRDefault="0029227F" w:rsidP="0029227F">
      <w:pPr>
        <w:numPr>
          <w:ilvl w:val="0"/>
          <w:numId w:val="7"/>
        </w:numPr>
        <w:rPr>
          <w:lang w:val="it-IT"/>
        </w:rPr>
      </w:pPr>
      <w:r w:rsidRPr="0029227F">
        <w:rPr>
          <w:b/>
          <w:bCs/>
          <w:lang w:val="it-IT"/>
        </w:rPr>
        <w:t>Riduzione della rugosità media</w:t>
      </w:r>
      <w:r w:rsidRPr="0029227F">
        <w:rPr>
          <w:lang w:val="it-IT"/>
        </w:rPr>
        <w:br/>
        <w:t>−32%*</w:t>
      </w:r>
      <w:r w:rsidRPr="0029227F">
        <w:rPr>
          <w:lang w:val="it-IT"/>
        </w:rPr>
        <w:br/>
        <w:t>90% dei soggetti migliorati</w:t>
      </w:r>
    </w:p>
    <w:p w14:paraId="1A73D7DE" w14:textId="77777777" w:rsidR="0029227F" w:rsidRPr="0029227F" w:rsidRDefault="0029227F" w:rsidP="0029227F">
      <w:pPr>
        <w:numPr>
          <w:ilvl w:val="0"/>
          <w:numId w:val="7"/>
        </w:numPr>
        <w:rPr>
          <w:lang w:val="it-IT"/>
        </w:rPr>
      </w:pPr>
      <w:r w:rsidRPr="0029227F">
        <w:rPr>
          <w:b/>
          <w:bCs/>
          <w:lang w:val="it-IT"/>
        </w:rPr>
        <w:t>Compattezza cutanea</w:t>
      </w:r>
      <w:r w:rsidRPr="0029227F">
        <w:rPr>
          <w:lang w:val="it-IT"/>
        </w:rPr>
        <w:br/>
        <w:t>+52%*</w:t>
      </w:r>
      <w:r w:rsidRPr="0029227F">
        <w:rPr>
          <w:lang w:val="it-IT"/>
        </w:rPr>
        <w:br/>
        <w:t>100% dei soggetti migliorati</w:t>
      </w:r>
    </w:p>
    <w:p w14:paraId="692D32D1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Nel complesso, i dati confermano un’azione progressiva sullo stato funzionale dell’area perioculare, con benefici evidenti su gonfiore, segni di stanchezza, uniformità e qualità dei tessuti.</w:t>
      </w:r>
    </w:p>
    <w:p w14:paraId="06036D99" w14:textId="77777777" w:rsidR="0029227F" w:rsidRPr="0029227F" w:rsidRDefault="0029227F" w:rsidP="0029227F">
      <w:pPr>
        <w:rPr>
          <w:lang w:val="it-IT"/>
        </w:rPr>
      </w:pPr>
    </w:p>
    <w:p w14:paraId="4C9028C0" w14:textId="77777777" w:rsidR="0029227F" w:rsidRPr="0029227F" w:rsidRDefault="0029227F" w:rsidP="0029227F">
      <w:pPr>
        <w:rPr>
          <w:lang w:val="it-IT"/>
        </w:rPr>
      </w:pPr>
      <w:r w:rsidRPr="0029227F">
        <w:rPr>
          <w:b/>
          <w:bCs/>
          <w:lang w:val="it-IT"/>
        </w:rPr>
        <w:t>TEXTURE E APPROCCIO DERMATOLOGICO</w:t>
      </w:r>
    </w:p>
    <w:p w14:paraId="517820FF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Per </w:t>
      </w:r>
      <w:r w:rsidRPr="0029227F">
        <w:rPr>
          <w:b/>
          <w:bCs/>
          <w:lang w:val="it-IT"/>
        </w:rPr>
        <w:t>Supreme Eye Elixir</w:t>
      </w:r>
      <w:r w:rsidRPr="0029227F">
        <w:rPr>
          <w:lang w:val="it-IT"/>
        </w:rPr>
        <w:t> si è sviluppata una texture leggera ma consistente, ad assorbimento rapido, che non lascia residui. All’applicazione il cosmetico offre comfort immediato.</w:t>
      </w:r>
    </w:p>
    <w:p w14:paraId="0896A8E9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La formula è clinicamente testata e creata per minimizzare il rischio di allergie. Risulta adatta a tutti i tipi di pelle, comprese quelle sensibili. </w:t>
      </w:r>
    </w:p>
    <w:p w14:paraId="16DAB70F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L’applicazione è facilitata da un dispenser in lega di metallo, ideato per procedere a un massaggio delicato che accompagna l’azione del prodotto e offre una sensazione di freschezza e decongestione dell’area.</w:t>
      </w:r>
    </w:p>
    <w:p w14:paraId="5FAD67B4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 xml:space="preserve">Il concentrato è confezionato in un flacone da 15 ml che </w:t>
      </w:r>
      <w:proofErr w:type="spellStart"/>
      <w:r w:rsidRPr="0029227F">
        <w:rPr>
          <w:lang w:val="it-IT"/>
        </w:rPr>
        <w:t>garantiscee</w:t>
      </w:r>
      <w:proofErr w:type="spellEnd"/>
      <w:r w:rsidRPr="0029227F">
        <w:rPr>
          <w:lang w:val="it-IT"/>
        </w:rPr>
        <w:t xml:space="preserve"> la massima igiene, oltre a preservare la stabilità della formula e l’integrità degli attivi nel tempo, evitando contaminazioni e assicurando un dosaggio controllato.</w:t>
      </w:r>
    </w:p>
    <w:p w14:paraId="1A705982" w14:textId="77777777" w:rsidR="0029227F" w:rsidRPr="0029227F" w:rsidRDefault="0029227F" w:rsidP="0029227F">
      <w:pPr>
        <w:rPr>
          <w:lang w:val="it-IT"/>
        </w:rPr>
      </w:pPr>
    </w:p>
    <w:p w14:paraId="63268007" w14:textId="77777777" w:rsidR="0029227F" w:rsidRPr="0029227F" w:rsidRDefault="0029227F" w:rsidP="0029227F">
      <w:pPr>
        <w:rPr>
          <w:lang w:val="it-IT"/>
        </w:rPr>
      </w:pPr>
      <w:r w:rsidRPr="0029227F">
        <w:rPr>
          <w:b/>
          <w:bCs/>
          <w:lang w:val="it-IT"/>
        </w:rPr>
        <w:t>MODALITÀ D</w:t>
      </w:r>
      <w:r w:rsidRPr="0029227F">
        <w:rPr>
          <w:lang w:val="it-IT"/>
        </w:rPr>
        <w:t>’</w:t>
      </w:r>
      <w:r w:rsidRPr="0029227F">
        <w:rPr>
          <w:b/>
          <w:bCs/>
          <w:lang w:val="it-IT"/>
        </w:rPr>
        <w:t>USO</w:t>
      </w:r>
    </w:p>
    <w:p w14:paraId="570A8866" w14:textId="77777777" w:rsidR="0029227F" w:rsidRPr="0029227F" w:rsidRDefault="0029227F" w:rsidP="0029227F">
      <w:pPr>
        <w:rPr>
          <w:lang w:val="it-IT"/>
        </w:rPr>
      </w:pPr>
      <w:r w:rsidRPr="0029227F">
        <w:rPr>
          <w:lang w:val="it-IT"/>
        </w:rPr>
        <w:t>Applicare mattina e/o sera sul contorno occhi pulito e asciutto.</w:t>
      </w:r>
      <w:r w:rsidRPr="0029227F">
        <w:rPr>
          <w:lang w:val="it-IT"/>
        </w:rPr>
        <w:br/>
        <w:t>Massaggiare delicatamente con il dispenser di precisione fino a completo assorbimento.</w:t>
      </w:r>
    </w:p>
    <w:p w14:paraId="66C26B7C" w14:textId="77777777" w:rsidR="002A68F9" w:rsidRDefault="002A68F9" w:rsidP="001C2330">
      <w:pPr>
        <w:rPr>
          <w:lang w:val="it-IT"/>
        </w:rPr>
      </w:pPr>
    </w:p>
    <w:p w14:paraId="2B33AA2F" w14:textId="49FA5430" w:rsidR="009D5812" w:rsidRDefault="002A68F9" w:rsidP="001C2330">
      <w:pPr>
        <w:rPr>
          <w:lang w:val="it-IT"/>
        </w:rPr>
      </w:pPr>
      <w:r>
        <w:rPr>
          <w:lang w:val="it-IT"/>
        </w:rPr>
        <w:t xml:space="preserve">Costo al pubblico consigliati: </w:t>
      </w:r>
      <w:r w:rsidR="0029227F">
        <w:rPr>
          <w:lang w:val="it-IT"/>
        </w:rPr>
        <w:t>5</w:t>
      </w:r>
      <w:r>
        <w:rPr>
          <w:lang w:val="it-IT"/>
        </w:rPr>
        <w:t xml:space="preserve">0 euro </w:t>
      </w:r>
    </w:p>
    <w:p w14:paraId="4A026709" w14:textId="16277F2C" w:rsidR="009D5812" w:rsidRDefault="009D5812" w:rsidP="001C2330">
      <w:pPr>
        <w:rPr>
          <w:lang w:val="it-IT"/>
        </w:rPr>
      </w:pPr>
      <w:r>
        <w:rPr>
          <w:lang w:val="it-IT"/>
        </w:rPr>
        <w:t xml:space="preserve">Disponibile dal </w:t>
      </w:r>
      <w:proofErr w:type="gramStart"/>
      <w:r>
        <w:rPr>
          <w:lang w:val="it-IT"/>
        </w:rPr>
        <w:t>1 Febbraio</w:t>
      </w:r>
      <w:proofErr w:type="gramEnd"/>
      <w:r>
        <w:rPr>
          <w:lang w:val="it-IT"/>
        </w:rPr>
        <w:t xml:space="preserve"> 2026 presso le Farmacie </w:t>
      </w:r>
      <w:r w:rsidR="002A68F9">
        <w:rPr>
          <w:lang w:val="it-IT"/>
        </w:rPr>
        <w:t>autorizzate</w:t>
      </w:r>
    </w:p>
    <w:p w14:paraId="54FDB499" w14:textId="77777777" w:rsidR="009D5812" w:rsidRDefault="009D5812" w:rsidP="001C2330">
      <w:pPr>
        <w:rPr>
          <w:lang w:val="it-IT"/>
        </w:rPr>
      </w:pPr>
    </w:p>
    <w:p w14:paraId="47EC59F5" w14:textId="282600E9" w:rsidR="001C2330" w:rsidRDefault="001C2330" w:rsidP="001C2330">
      <w:pPr>
        <w:rPr>
          <w:lang w:val="it-IT"/>
        </w:rPr>
      </w:pPr>
      <w:r>
        <w:rPr>
          <w:lang w:val="it-IT"/>
        </w:rPr>
        <w:t>Per ulteriori informazioni rivolgersi a:</w:t>
      </w:r>
    </w:p>
    <w:p w14:paraId="324AE7F5" w14:textId="77777777" w:rsidR="005A7091" w:rsidRDefault="009A4A43" w:rsidP="001C2330">
      <w:pPr>
        <w:rPr>
          <w:lang w:val="it-IT"/>
        </w:rPr>
      </w:pPr>
      <w:r>
        <w:rPr>
          <w:noProof/>
        </w:rPr>
        <w:drawing>
          <wp:inline distT="0" distB="0" distL="0" distR="0" wp14:anchorId="038261A2" wp14:editId="3BE836CE">
            <wp:extent cx="622300" cy="215900"/>
            <wp:effectExtent l="0" t="0" r="635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7091">
        <w:rPr>
          <w:lang w:val="it-IT"/>
        </w:rPr>
        <w:tab/>
      </w:r>
    </w:p>
    <w:p w14:paraId="305B453E" w14:textId="0A398870" w:rsidR="001C2330" w:rsidRPr="005A7091" w:rsidRDefault="00944F2E" w:rsidP="001C2330">
      <w:pPr>
        <w:rPr>
          <w:lang w:val="it-IT"/>
        </w:rPr>
      </w:pPr>
      <w:hyperlink r:id="rId7" w:history="1">
        <w:r w:rsidRPr="00325027">
          <w:rPr>
            <w:rStyle w:val="Collegamentoipertestuale"/>
            <w:lang w:val="it-IT"/>
          </w:rPr>
          <w:t>flora@floraco.it</w:t>
        </w:r>
      </w:hyperlink>
      <w:r w:rsidR="009A4A43">
        <w:rPr>
          <w:lang w:val="it-IT"/>
        </w:rPr>
        <w:t xml:space="preserve"> </w:t>
      </w:r>
      <w:r w:rsidR="001C2330">
        <w:t>Tel. 335 54 95 555</w:t>
      </w:r>
    </w:p>
    <w:p w14:paraId="387C1854" w14:textId="77777777" w:rsidR="001C2330" w:rsidRDefault="001C2330" w:rsidP="001C2330"/>
    <w:p w14:paraId="0BBE2493" w14:textId="77777777" w:rsidR="001C2330" w:rsidRDefault="001C2330" w:rsidP="001C2330"/>
    <w:p w14:paraId="188DD34D" w14:textId="77777777" w:rsidR="001C2330" w:rsidRDefault="001C2330" w:rsidP="001C2330"/>
    <w:p w14:paraId="13EFF7C8" w14:textId="77777777" w:rsidR="001C2330" w:rsidRDefault="001C2330" w:rsidP="001C2330"/>
    <w:p w14:paraId="224721C7" w14:textId="77777777" w:rsidR="00B04DB4" w:rsidRDefault="00B04DB4"/>
    <w:sectPr w:rsidR="00B04D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D582D"/>
    <w:multiLevelType w:val="multilevel"/>
    <w:tmpl w:val="E732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333C7"/>
    <w:multiLevelType w:val="multilevel"/>
    <w:tmpl w:val="2066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3753F"/>
    <w:multiLevelType w:val="multilevel"/>
    <w:tmpl w:val="709A6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F05E1"/>
    <w:multiLevelType w:val="multilevel"/>
    <w:tmpl w:val="5DAA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F9012B"/>
    <w:multiLevelType w:val="multilevel"/>
    <w:tmpl w:val="F546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A95399"/>
    <w:multiLevelType w:val="multilevel"/>
    <w:tmpl w:val="D4A0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236BD"/>
    <w:multiLevelType w:val="multilevel"/>
    <w:tmpl w:val="7F5C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3580239">
    <w:abstractNumId w:val="1"/>
  </w:num>
  <w:num w:numId="2" w16cid:durableId="1787697365">
    <w:abstractNumId w:val="5"/>
  </w:num>
  <w:num w:numId="3" w16cid:durableId="1124081259">
    <w:abstractNumId w:val="4"/>
  </w:num>
  <w:num w:numId="4" w16cid:durableId="1283997087">
    <w:abstractNumId w:val="2"/>
  </w:num>
  <w:num w:numId="5" w16cid:durableId="56516540">
    <w:abstractNumId w:val="3"/>
  </w:num>
  <w:num w:numId="6" w16cid:durableId="49964278">
    <w:abstractNumId w:val="0"/>
  </w:num>
  <w:num w:numId="7" w16cid:durableId="2101901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30"/>
    <w:rsid w:val="001C2330"/>
    <w:rsid w:val="00200FF6"/>
    <w:rsid w:val="0029227F"/>
    <w:rsid w:val="002A68F9"/>
    <w:rsid w:val="002E187A"/>
    <w:rsid w:val="00471CD3"/>
    <w:rsid w:val="005A7091"/>
    <w:rsid w:val="00944F2E"/>
    <w:rsid w:val="009A4A43"/>
    <w:rsid w:val="009D5812"/>
    <w:rsid w:val="00B0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9866"/>
  <w15:chartTrackingRefBased/>
  <w15:docId w15:val="{990E128A-0D25-4476-B681-59C22178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fr-F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2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C2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C2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2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2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23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C23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23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C23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233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C233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C2330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2330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2330"/>
    <w:rPr>
      <w:rFonts w:eastAsiaTheme="majorEastAsia" w:cstheme="majorBidi"/>
      <w:color w:val="0F4761" w:themeColor="accent1" w:themeShade="BF"/>
      <w:lang w:val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2330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C2330"/>
    <w:rPr>
      <w:rFonts w:eastAsiaTheme="majorEastAsia" w:cstheme="majorBidi"/>
      <w:color w:val="595959" w:themeColor="text1" w:themeTint="A6"/>
      <w:lang w:val="fr-FR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2330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C2330"/>
    <w:rPr>
      <w:rFonts w:eastAsiaTheme="majorEastAsia" w:cstheme="majorBidi"/>
      <w:color w:val="272727" w:themeColor="text1" w:themeTint="D8"/>
      <w:lang w:val="fr-FR"/>
    </w:rPr>
  </w:style>
  <w:style w:type="paragraph" w:styleId="Titolo">
    <w:name w:val="Title"/>
    <w:basedOn w:val="Normale"/>
    <w:next w:val="Normale"/>
    <w:link w:val="TitoloCarattere"/>
    <w:uiPriority w:val="10"/>
    <w:qFormat/>
    <w:rsid w:val="001C23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C2330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2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2330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C2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C2330"/>
    <w:rPr>
      <w:i/>
      <w:iCs/>
      <w:color w:val="404040" w:themeColor="text1" w:themeTint="BF"/>
      <w:lang w:val="fr-FR"/>
    </w:rPr>
  </w:style>
  <w:style w:type="paragraph" w:styleId="Paragrafoelenco">
    <w:name w:val="List Paragraph"/>
    <w:basedOn w:val="Normale"/>
    <w:uiPriority w:val="34"/>
    <w:qFormat/>
    <w:rsid w:val="001C233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C23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C2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C2330"/>
    <w:rPr>
      <w:i/>
      <w:iCs/>
      <w:color w:val="0F4761" w:themeColor="accent1" w:themeShade="BF"/>
      <w:lang w:val="fr-FR"/>
    </w:rPr>
  </w:style>
  <w:style w:type="character" w:styleId="Riferimentointenso">
    <w:name w:val="Intense Reference"/>
    <w:basedOn w:val="Carpredefinitoparagrafo"/>
    <w:uiPriority w:val="32"/>
    <w:qFormat/>
    <w:rsid w:val="001C2330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A4A4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lora@florac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3332</Characters>
  <Application>Microsoft Office Word</Application>
  <DocSecurity>0</DocSecurity>
  <Lines>98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 Coluccia</dc:creator>
  <cp:keywords/>
  <dc:description/>
  <cp:lastModifiedBy>Flora Coluccia</cp:lastModifiedBy>
  <cp:revision>2</cp:revision>
  <dcterms:created xsi:type="dcterms:W3CDTF">2026-01-20T09:04:00Z</dcterms:created>
  <dcterms:modified xsi:type="dcterms:W3CDTF">2026-01-20T09:04:00Z</dcterms:modified>
</cp:coreProperties>
</file>